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EF04B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t>湖南省事业单位工作人员</w:t>
      </w:r>
      <w:r>
        <w:rPr>
          <w:rFonts w:hint="eastAsia"/>
          <w:sz w:val="36"/>
          <w:szCs w:val="36"/>
          <w:lang w:val="en-US" w:eastAsia="zh-CN"/>
        </w:rPr>
        <w:t>继续教育</w:t>
      </w:r>
      <w:r>
        <w:rPr>
          <w:rFonts w:hint="eastAsia"/>
          <w:sz w:val="36"/>
          <w:szCs w:val="36"/>
        </w:rPr>
        <w:t>培训</w:t>
      </w:r>
      <w:r>
        <w:rPr>
          <w:rFonts w:hint="eastAsia"/>
          <w:sz w:val="36"/>
          <w:szCs w:val="36"/>
          <w:lang w:val="en-US" w:eastAsia="zh-CN"/>
        </w:rPr>
        <w:t>操作指南</w:t>
      </w:r>
    </w:p>
    <w:p w14:paraId="57F8B09F">
      <w:pPr>
        <w:jc w:val="center"/>
        <w:rPr>
          <w:rFonts w:hint="eastAsia"/>
          <w:sz w:val="36"/>
          <w:szCs w:val="36"/>
          <w:lang w:val="en-US" w:eastAsia="zh-CN"/>
        </w:rPr>
      </w:pPr>
    </w:p>
    <w:p w14:paraId="548554D5"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【培训操作指南】</w:t>
      </w:r>
    </w:p>
    <w:p w14:paraId="0D3F1800">
      <w:pPr>
        <w:jc w:val="both"/>
        <w:rPr>
          <w:rFonts w:hint="default"/>
          <w:sz w:val="32"/>
          <w:szCs w:val="32"/>
          <w:lang w:val="en-US" w:eastAsia="zh-CN"/>
        </w:rPr>
      </w:pPr>
    </w:p>
    <w:p w14:paraId="396B967B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pacing w:val="1"/>
          <w:sz w:val="28"/>
          <w:szCs w:val="28"/>
        </w:rPr>
      </w:pPr>
      <w:r>
        <w:rPr>
          <w:rFonts w:hint="eastAsia" w:ascii="黑体" w:hAnsi="黑体" w:eastAsia="黑体" w:cs="黑体"/>
          <w:spacing w:val="1"/>
          <w:sz w:val="28"/>
          <w:szCs w:val="28"/>
          <w:lang w:val="en-US" w:eastAsia="zh-CN"/>
        </w:rPr>
        <w:t>请</w:t>
      </w:r>
      <w:r>
        <w:rPr>
          <w:rFonts w:hint="eastAsia" w:ascii="黑体" w:hAnsi="黑体" w:eastAsia="黑体" w:cs="黑体"/>
          <w:spacing w:val="1"/>
          <w:sz w:val="28"/>
          <w:szCs w:val="28"/>
        </w:rPr>
        <w:t>使用“</w:t>
      </w:r>
      <w:r>
        <w:rPr>
          <w:rFonts w:hint="eastAsia" w:ascii="黑体" w:hAnsi="黑体" w:eastAsia="黑体" w:cs="黑体"/>
          <w:b/>
          <w:bCs/>
          <w:spacing w:val="1"/>
          <w:sz w:val="28"/>
          <w:szCs w:val="28"/>
        </w:rPr>
        <w:t>智慧人社</w:t>
      </w:r>
      <w:r>
        <w:rPr>
          <w:rFonts w:hint="eastAsia" w:ascii="黑体" w:hAnsi="黑体" w:eastAsia="黑体" w:cs="黑体"/>
          <w:spacing w:val="1"/>
          <w:sz w:val="28"/>
          <w:szCs w:val="28"/>
        </w:rPr>
        <w:t>”小程序、</w:t>
      </w:r>
      <w:r>
        <w:rPr>
          <w:rFonts w:hint="eastAsia" w:ascii="黑体" w:hAnsi="黑体" w:eastAsia="黑体" w:cs="黑体"/>
          <w:sz w:val="28"/>
          <w:szCs w:val="28"/>
        </w:rPr>
        <w:t>app</w:t>
      </w:r>
      <w:r>
        <w:rPr>
          <w:rFonts w:hint="eastAsia" w:ascii="黑体" w:hAnsi="黑体" w:eastAsia="黑体" w:cs="黑体"/>
          <w:spacing w:val="53"/>
          <w:sz w:val="28"/>
          <w:szCs w:val="28"/>
        </w:rPr>
        <w:t xml:space="preserve"> </w:t>
      </w:r>
      <w:r>
        <w:rPr>
          <w:rFonts w:hint="eastAsia" w:ascii="黑体" w:hAnsi="黑体" w:eastAsia="黑体" w:cs="黑体"/>
          <w:spacing w:val="1"/>
          <w:sz w:val="28"/>
          <w:szCs w:val="28"/>
        </w:rPr>
        <w:t>或电子社保卡扫码</w:t>
      </w:r>
      <w:r>
        <w:rPr>
          <w:rFonts w:hint="eastAsia" w:ascii="黑体" w:hAnsi="黑体" w:eastAsia="黑体" w:cs="黑体"/>
          <w:sz w:val="28"/>
          <w:szCs w:val="28"/>
        </w:rPr>
        <w:t>https://ggfw.rst.hunan.gov.cn/hrss-pw-</w:t>
      </w:r>
      <w:r>
        <w:rPr>
          <w:rFonts w:hint="eastAsia" w:ascii="黑体" w:hAnsi="黑体" w:eastAsia="黑体" w:cs="黑体"/>
          <w:spacing w:val="-1"/>
          <w:sz w:val="28"/>
          <w:szCs w:val="28"/>
        </w:rPr>
        <w:t>ui-hunan/#/login</w:t>
      </w:r>
      <w:r>
        <w:rPr>
          <w:rFonts w:hint="eastAsia" w:ascii="黑体" w:hAnsi="黑体" w:eastAsia="黑体" w:cs="黑体"/>
          <w:spacing w:val="1"/>
          <w:sz w:val="28"/>
          <w:szCs w:val="28"/>
        </w:rPr>
        <w:t>登录。</w:t>
      </w:r>
    </w:p>
    <w:p w14:paraId="3B5FE999">
      <w:pPr>
        <w:numPr>
          <w:numId w:val="0"/>
        </w:numPr>
        <w:jc w:val="both"/>
        <w:rPr>
          <w:spacing w:val="1"/>
          <w:sz w:val="28"/>
          <w:szCs w:val="28"/>
        </w:rPr>
      </w:pPr>
      <w:r>
        <w:drawing>
          <wp:inline distT="0" distB="0" distL="114300" distR="114300">
            <wp:extent cx="5271770" cy="3076575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DE16">
      <w:pPr>
        <w:numPr>
          <w:numId w:val="0"/>
        </w:numPr>
        <w:jc w:val="both"/>
        <w:rPr>
          <w:rFonts w:hint="eastAsia"/>
          <w:spacing w:val="1"/>
          <w:sz w:val="28"/>
          <w:szCs w:val="28"/>
          <w:lang w:val="en-US" w:eastAsia="zh-CN"/>
        </w:rPr>
      </w:pPr>
    </w:p>
    <w:p w14:paraId="3ECEAD4E">
      <w:pPr>
        <w:numPr>
          <w:numId w:val="0"/>
        </w:numPr>
        <w:jc w:val="both"/>
        <w:rPr>
          <w:rFonts w:hint="eastAsia" w:ascii="黑体" w:hAnsi="黑体" w:eastAsia="黑体" w:cs="黑体"/>
          <w:spacing w:val="1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1"/>
          <w:sz w:val="28"/>
          <w:szCs w:val="28"/>
          <w:lang w:val="en-US" w:eastAsia="zh-CN"/>
        </w:rPr>
        <w:t>二、扫码登录后请点击红色箭头处。</w:t>
      </w:r>
    </w:p>
    <w:p w14:paraId="01ECF895">
      <w:pPr>
        <w:numPr>
          <w:numId w:val="0"/>
        </w:numPr>
        <w:jc w:val="both"/>
      </w:pPr>
      <w:r>
        <w:drawing>
          <wp:inline distT="0" distB="0" distL="114300" distR="114300">
            <wp:extent cx="5261610" cy="2148205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1331">
      <w:pPr>
        <w:numPr>
          <w:numId w:val="0"/>
        </w:numPr>
        <w:jc w:val="both"/>
      </w:pPr>
    </w:p>
    <w:p w14:paraId="3702A5B5">
      <w:pPr>
        <w:numPr>
          <w:numId w:val="0"/>
        </w:numPr>
        <w:jc w:val="both"/>
      </w:pPr>
      <w:r>
        <w:drawing>
          <wp:inline distT="0" distB="0" distL="114300" distR="114300">
            <wp:extent cx="5274310" cy="26454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9076">
      <w:pPr>
        <w:numPr>
          <w:numId w:val="0"/>
        </w:numPr>
        <w:ind w:leftChars="0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19F2BE32">
      <w:pPr>
        <w:numPr>
          <w:numId w:val="0"/>
        </w:numPr>
        <w:ind w:leftChars="0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三、任意选择一下基地学习2025年公需科目（共30学时，免费），以湖南师范大学继续教育基地为例。</w:t>
      </w:r>
    </w:p>
    <w:p w14:paraId="025DC24D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0975" cy="2626360"/>
            <wp:effectExtent l="0" t="0" r="158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9B1E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5420" cy="3455035"/>
            <wp:effectExtent l="0" t="0" r="1143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8BF6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991F054">
      <w:pPr>
        <w:numPr>
          <w:numId w:val="0"/>
        </w:numPr>
        <w:ind w:leftChars="0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四、点击“购物车——全选——结算（学时数30，总结0）”。</w:t>
      </w:r>
    </w:p>
    <w:p w14:paraId="6F3562E2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1135" cy="418465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F594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7AC7350"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5ED6BA7">
      <w:pPr>
        <w:numPr>
          <w:numId w:val="0"/>
        </w:numPr>
        <w:ind w:leftChars="0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五、在“个人中心”学习即可。</w:t>
      </w:r>
    </w:p>
    <w:p w14:paraId="60DFDFEE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4785" cy="3789045"/>
            <wp:effectExtent l="0" t="0" r="1206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7BCA">
      <w:pPr>
        <w:numPr>
          <w:numId w:val="0"/>
        </w:numPr>
        <w:ind w:leftChars="0"/>
        <w:jc w:val="both"/>
      </w:pPr>
    </w:p>
    <w:p w14:paraId="4815F018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5BD1F6"/>
    <w:multiLevelType w:val="singleLevel"/>
    <w:tmpl w:val="B05BD1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2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2025-04-27T01:22:33Z</dcterms:created>
  <dc:creator>Admin</dc:creator>
  <cp:lastModifiedBy>小辣姣</cp:lastModifiedBy>
  <dcterms:modified xsi:type="dcterms:W3CDTF">2025-04-27T01:50:06Z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eyJoZGlkIjoiYmU1MGVmNTdhMTY3YWYzNDc3ODE2NWUyZDQ3MDAzZjgiLCJ1c2VySWQiOiI0OTYzODI0MTcifQ==</vt:lpwstr>
  </property>
  <property fmtid="{D5CDD505-2E9C-101B-9397-08002B2CF9AE}" pid="4" name="ICV">
    <vt:lpwstr>1356C204C72742DAB348405B6D6A7E4A_12</vt:lpwstr>
  </property>
</Properties>
</file>